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eastAsia="方正姚体"/>
          <w:sz w:val="24"/>
        </w:rPr>
      </w:pPr>
      <w:r>
        <w:rPr>
          <w:rFonts w:hint="eastAsia" w:eastAsia="方正姚体"/>
        </w:rPr>
        <w:t>作者简介：XX，装备部部长，高级工程师，主要从事电气设备的维修、保养工作，主持完成的俄罗斯80MN锻造生产线技术改造项目和快速镦锻技术的开发与应用项目获得东风汽车公司科技进步二等奖，拥有1项专利、2项专有技术。</w:t>
      </w:r>
    </w:p>
    <w:p>
      <w:pPr>
        <w:spacing w:before="156" w:beforeLines="50" w:after="156" w:afterLines="50"/>
        <w:jc w:val="center"/>
        <w:outlineLvl w:val="0"/>
        <w:rPr>
          <w:rFonts w:ascii="Arial" w:eastAsia="黑体" w:cs="黑体"/>
          <w:b/>
          <w:color w:val="4F81BD"/>
          <w:sz w:val="32"/>
          <w:szCs w:val="32"/>
        </w:rPr>
      </w:pPr>
      <w:r>
        <w:rPr>
          <w:rFonts w:hint="eastAsia" w:ascii="Arial" w:eastAsia="黑体" w:cs="黑体"/>
          <w:b/>
          <w:color w:val="4F81BD"/>
          <w:sz w:val="32"/>
          <w:szCs w:val="32"/>
        </w:rPr>
        <w:t>战略性新兴产业与锻造行业</w:t>
      </w:r>
    </w:p>
    <w:p>
      <w:pPr>
        <w:spacing w:before="156" w:beforeLines="50" w:after="156" w:afterLines="50"/>
        <w:rPr>
          <w:rFonts w:ascii="Arial" w:hAnsi="Arial" w:eastAsia="黑体" w:cs="黑体"/>
          <w:sz w:val="18"/>
          <w:szCs w:val="18"/>
        </w:rPr>
      </w:pPr>
      <w:r>
        <w:rPr>
          <w:rFonts w:hint="eastAsia" w:ascii="Arial" w:hAnsi="Arial" w:eastAsia="黑体" w:cs="黑体"/>
          <w:sz w:val="18"/>
          <w:szCs w:val="18"/>
        </w:rPr>
        <w:t>文</w:t>
      </w:r>
      <w:r>
        <w:rPr>
          <w:rFonts w:hint="eastAsia" w:ascii="黑体" w:hAnsi="黑体" w:eastAsia="黑体" w:cs="Arial"/>
          <w:sz w:val="18"/>
          <w:szCs w:val="18"/>
        </w:rPr>
        <w:t>／</w:t>
      </w:r>
      <w:r>
        <w:rPr>
          <w:rFonts w:hint="eastAsia" w:ascii="Arial" w:hAnsi="Arial" w:eastAsia="黑体" w:cs="黑体"/>
          <w:sz w:val="18"/>
          <w:szCs w:val="18"/>
        </w:rPr>
        <w:t>XX·XXXX公司</w:t>
      </w:r>
    </w:p>
    <w:p>
      <w:pPr>
        <w:ind w:firstLine="482" w:firstLineChars="200"/>
        <w:rPr>
          <w:rFonts w:hAnsi="华文楷体" w:eastAsia="华文楷体" w:cs="黑体"/>
          <w:b/>
          <w:i/>
          <w:color w:val="808080"/>
          <w:sz w:val="24"/>
          <w:shd w:val="pct10" w:color="auto" w:fill="FFFFFF"/>
        </w:rPr>
      </w:pPr>
      <w:r>
        <w:rPr>
          <w:rFonts w:hint="eastAsia" w:hAnsi="华文楷体" w:eastAsia="华文楷体" w:cs="黑体"/>
          <w:b/>
          <w:i/>
          <w:color w:val="808080"/>
          <w:sz w:val="24"/>
          <w:shd w:val="pct10" w:color="auto" w:fill="FFFFFF"/>
        </w:rPr>
        <w:t>此处是文章的导言部分，每期杂志中要保证至少2～3篇的文章是有导言的，导言主要浓缩此篇文章的核心内容和思想，摘编或自己撰写吸引读者看这篇文章的一小块内容，不要像学术论文那样写“本文从哪几个方面介绍了什么……”。导言字数要控制在100字左右，不要太多。</w:t>
      </w:r>
    </w:p>
    <w:p>
      <w:pPr>
        <w:pStyle w:val="5"/>
        <w:spacing w:line="360" w:lineRule="auto"/>
        <w:ind w:firstLine="420"/>
        <w:rPr>
          <w:rFonts w:cs="宋体"/>
        </w:rPr>
      </w:pPr>
      <w:r>
        <w:rPr>
          <w:rFonts w:hint="eastAsia" w:cs="宋体"/>
        </w:rPr>
        <w:t>国务院于</w:t>
      </w:r>
      <w:r>
        <w:rPr>
          <w:rFonts w:cs="宋体"/>
        </w:rPr>
        <w:t>2010</w:t>
      </w:r>
      <w:r>
        <w:rPr>
          <w:rFonts w:hint="eastAsia" w:cs="宋体"/>
        </w:rPr>
        <w:t>年</w:t>
      </w:r>
      <w:r>
        <w:rPr>
          <w:rFonts w:cs="宋体"/>
        </w:rPr>
        <w:t>10</w:t>
      </w:r>
      <w:r>
        <w:rPr>
          <w:rFonts w:hint="eastAsia" w:cs="宋体"/>
        </w:rPr>
        <w:t>月</w:t>
      </w:r>
      <w:r>
        <w:rPr>
          <w:rFonts w:cs="宋体"/>
        </w:rPr>
        <w:t>10</w:t>
      </w:r>
      <w:r>
        <w:rPr>
          <w:rFonts w:hint="eastAsia" w:cs="宋体"/>
        </w:rPr>
        <w:t>日发布了《国务院关于加快培育和发展战略性新兴产业的决定》，将战略性新兴产业培育成为国民经济的先导产业和支柱产业，国际经济形势的恶化加深了我们对发展战略性新兴产业重大意义的认识。</w:t>
      </w:r>
    </w:p>
    <w:p>
      <w:pPr>
        <w:pStyle w:val="5"/>
        <w:spacing w:line="360" w:lineRule="auto"/>
        <w:ind w:firstLine="420"/>
      </w:pPr>
      <w:r>
        <w:rPr>
          <w:rFonts w:hint="eastAsia" w:cs="宋体"/>
        </w:rPr>
        <w:t>什么是战略性产业？就是关系到国家生存和发展安全、国民经济社会发展的重大瓶颈的产业。这些战略性产业，不能依赖进口，不能指望外援，不能受制于人，必须以独立、自主、创新为先导，建立必要的机制体制才能实施。</w:t>
      </w:r>
    </w:p>
    <w:p>
      <w:pPr>
        <w:pStyle w:val="5"/>
        <w:spacing w:line="360" w:lineRule="auto"/>
        <w:outlineLvl w:val="1"/>
        <w:rPr>
          <w:rFonts w:ascii="Arial" w:hAnsi="Arial" w:eastAsia="黑体" w:cs="黑体"/>
          <w:b/>
          <w:color w:val="4F81BD"/>
          <w:sz w:val="28"/>
          <w:szCs w:val="28"/>
        </w:rPr>
      </w:pPr>
      <w:r>
        <w:rPr>
          <w:rFonts w:hint="eastAsia" w:ascii="Arial" w:hAnsi="Arial" w:eastAsia="黑体" w:cs="黑体"/>
          <w:b/>
          <w:color w:val="4F81BD"/>
          <w:sz w:val="28"/>
          <w:szCs w:val="28"/>
        </w:rPr>
        <w:t>锻造行业与战略性新兴产业的相关性</w:t>
      </w:r>
    </w:p>
    <w:p>
      <w:pPr>
        <w:pStyle w:val="6"/>
        <w:spacing w:line="360" w:lineRule="auto"/>
        <w:ind w:firstLine="482"/>
        <w:outlineLvl w:val="2"/>
        <w:rPr>
          <w:rFonts w:ascii="Times New Roman" w:hAnsi="Times New Roman"/>
          <w:b/>
          <w:bCs/>
          <w:i/>
          <w:iCs/>
        </w:rPr>
      </w:pPr>
      <w:r>
        <w:rPr>
          <w:rFonts w:hint="eastAsia" w:ascii="Times New Roman" w:hAnsi="Times New Roman"/>
          <w:b/>
          <w:bCs/>
          <w:i/>
          <w:iCs/>
        </w:rPr>
        <w:t>新能源产业</w:t>
      </w:r>
    </w:p>
    <w:p>
      <w:pPr>
        <w:pStyle w:val="5"/>
        <w:spacing w:line="360" w:lineRule="auto"/>
        <w:ind w:firstLine="420"/>
        <w:rPr>
          <w:rFonts w:cs="宋体"/>
        </w:rPr>
      </w:pPr>
      <w:r>
        <w:rPr>
          <w:rFonts w:hint="eastAsia" w:cs="宋体"/>
        </w:rPr>
        <w:t>⑴………………。</w:t>
      </w:r>
    </w:p>
    <w:p>
      <w:pPr>
        <w:pStyle w:val="5"/>
        <w:spacing w:line="360" w:lineRule="auto"/>
        <w:ind w:firstLine="420"/>
        <w:rPr>
          <w:rFonts w:cs="宋体"/>
        </w:rPr>
      </w:pPr>
      <w:r>
        <w:rPr>
          <w:rFonts w:hint="eastAsia" w:cs="宋体"/>
        </w:rPr>
        <w:t>1)………………。</w:t>
      </w:r>
    </w:p>
    <w:p>
      <w:pPr>
        <w:pStyle w:val="5"/>
        <w:spacing w:line="360" w:lineRule="auto"/>
        <w:ind w:firstLine="420"/>
        <w:rPr>
          <w:rFonts w:cs="宋体"/>
        </w:rPr>
      </w:pPr>
      <w:r>
        <w:rPr>
          <w:rFonts w:hint="eastAsia" w:cs="宋体"/>
        </w:rPr>
        <w:t>①………………。</w:t>
      </w:r>
    </w:p>
    <w:p>
      <w:pPr>
        <w:pStyle w:val="5"/>
        <w:spacing w:line="360" w:lineRule="auto"/>
        <w:ind w:firstLine="420"/>
        <w:rPr>
          <w:rFonts w:cs="宋体"/>
        </w:rPr>
      </w:pPr>
      <w:r>
        <w:rPr>
          <w:rFonts w:hint="eastAsia" w:cs="宋体"/>
        </w:rPr>
        <w:t>锻造加工是机械工业中的基础制造工艺。由于锻造成形不但能够制造出各种不同尺寸、不同形状的毛坯或零件，而且通过锻造变形可以使材料组织改善、性能提高，因此，锻造产品广泛应用于航空航天、军工、能源、船舶、汽车、轨道交通、工程机械、冶金、通信、石油化工、轻工、建筑、桥梁等领域。从中可以看出，锻造行业与战略性新兴产业有着极其密切的关系。</w:t>
      </w:r>
    </w:p>
    <w:p>
      <w:pPr>
        <w:pStyle w:val="5"/>
        <w:spacing w:line="360" w:lineRule="auto"/>
        <w:ind w:firstLine="420"/>
        <w:rPr>
          <w:rFonts w:cs="宋体"/>
        </w:rPr>
      </w:pPr>
      <w:r>
        <w:rPr>
          <w:rFonts w:hint="eastAsia" w:cs="宋体"/>
        </w:rPr>
        <w:t>七大新兴战略产业与锻造行业的关系十分紧密，如图</w:t>
      </w:r>
      <w:r>
        <w:rPr>
          <w:rFonts w:cs="宋体"/>
        </w:rPr>
        <w:t>1</w:t>
      </w:r>
      <w:r>
        <w:rPr>
          <w:rFonts w:hint="eastAsia" w:cs="宋体"/>
        </w:rPr>
        <w:t>所示。</w:t>
      </w:r>
    </w:p>
    <w:p>
      <w:pPr>
        <w:suppressAutoHyphens/>
        <w:spacing w:line="360" w:lineRule="auto"/>
        <w:jc w:val="center"/>
        <w:rPr>
          <w:rFonts w:ascii="Arial" w:hAnsi="Arial" w:eastAsia="黑体" w:cs="宋体"/>
          <w:kern w:val="24"/>
        </w:rPr>
      </w:pPr>
      <w:r>
        <w:rPr>
          <w:rFonts w:ascii="Arial" w:hAnsi="Arial" w:eastAsia="黑体" w:cs="宋体"/>
          <w:kern w:val="24"/>
        </w:rPr>
        <w:drawing>
          <wp:inline distT="0" distB="0" distL="114300" distR="114300">
            <wp:extent cx="3813810" cy="2867660"/>
            <wp:effectExtent l="0" t="0" r="15240" b="8890"/>
            <wp:docPr id="1" name="图片 1" descr="Tuli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Tulips"/>
                    <pic:cNvPicPr>
                      <a:picLocks noChangeAspect="1"/>
                    </pic:cNvPicPr>
                  </pic:nvPicPr>
                  <pic:blipFill>
                    <a:blip r:embed="rId4"/>
                    <a:stretch>
                      <a:fillRect/>
                    </a:stretch>
                  </pic:blipFill>
                  <pic:spPr>
                    <a:xfrm>
                      <a:off x="0" y="0"/>
                      <a:ext cx="3813810" cy="2867660"/>
                    </a:xfrm>
                    <a:prstGeom prst="rect">
                      <a:avLst/>
                    </a:prstGeom>
                    <a:noFill/>
                    <a:ln>
                      <a:noFill/>
                    </a:ln>
                  </pic:spPr>
                </pic:pic>
              </a:graphicData>
            </a:graphic>
          </wp:inline>
        </w:drawing>
      </w:r>
    </w:p>
    <w:p>
      <w:pPr>
        <w:suppressAutoHyphens/>
        <w:spacing w:line="360" w:lineRule="auto"/>
        <w:jc w:val="center"/>
        <w:rPr>
          <w:rFonts w:ascii="Arial" w:hAnsi="Arial" w:eastAsia="黑体"/>
          <w:kern w:val="24"/>
        </w:rPr>
      </w:pPr>
      <w:r>
        <w:rPr>
          <w:rFonts w:hint="eastAsia" w:ascii="Arial" w:hAnsi="Arial" w:eastAsia="黑体" w:cs="宋体"/>
          <w:kern w:val="24"/>
        </w:rPr>
        <w:t>图</w:t>
      </w:r>
      <w:r>
        <w:rPr>
          <w:rFonts w:ascii="Arial" w:hAnsi="Arial" w:eastAsia="黑体" w:cs="Arial"/>
          <w:kern w:val="24"/>
          <w:lang w:eastAsia="ar-SA"/>
        </w:rPr>
        <w:t>1</w:t>
      </w:r>
      <w:r>
        <w:rPr>
          <w:rFonts w:hint="eastAsia" w:ascii="Arial" w:hAnsi="Arial" w:eastAsia="黑体"/>
          <w:kern w:val="24"/>
          <w:lang w:eastAsia="ar-SA"/>
        </w:rPr>
        <w:t xml:space="preserve"> </w:t>
      </w:r>
      <w:r>
        <w:rPr>
          <w:rFonts w:hint="eastAsia" w:ascii="Arial" w:hAnsi="Arial" w:eastAsia="黑体" w:cs="宋体"/>
          <w:kern w:val="24"/>
          <w:lang w:eastAsia="ar-SA"/>
        </w:rPr>
        <w:t>七大新</w:t>
      </w:r>
      <w:r>
        <w:rPr>
          <w:rFonts w:hint="eastAsia" w:ascii="Arial" w:hAnsi="Arial" w:eastAsia="黑体" w:cs="宋体"/>
          <w:kern w:val="24"/>
        </w:rPr>
        <w:t>兴战略产业与锻造行业的关系</w:t>
      </w:r>
    </w:p>
    <w:p>
      <w:pPr>
        <w:pStyle w:val="5"/>
        <w:spacing w:line="360" w:lineRule="auto"/>
        <w:jc w:val="center"/>
        <w:rPr>
          <w:rFonts w:cs="宋体"/>
        </w:rPr>
      </w:pPr>
      <w:r>
        <w:rPr>
          <w:rFonts w:hint="eastAsia"/>
          <w:sz w:val="18"/>
          <w:szCs w:val="18"/>
        </w:rPr>
        <w:t>1，7—碳钢  2—0.5Mo钢  3—Cr1Mo钢  4—2.25Cr-1Mo钢  5—MoV钢  6—12Cr1MoV钢</w:t>
      </w:r>
    </w:p>
    <w:p>
      <w:pPr>
        <w:pStyle w:val="5"/>
        <w:spacing w:line="360" w:lineRule="auto"/>
        <w:ind w:firstLine="420"/>
        <w:rPr>
          <w:rFonts w:cs="宋体"/>
        </w:rPr>
      </w:pPr>
    </w:p>
    <w:p>
      <w:pPr>
        <w:pStyle w:val="5"/>
        <w:spacing w:line="360" w:lineRule="auto"/>
        <w:ind w:firstLine="420"/>
        <w:rPr>
          <w:rFonts w:cs="宋体"/>
        </w:rPr>
      </w:pPr>
      <w:r>
        <w:rPr>
          <w:rFonts w:hint="eastAsia" w:cs="宋体"/>
        </w:rPr>
        <w:t>表格的排版格式：</w:t>
      </w:r>
    </w:p>
    <w:p>
      <w:pPr>
        <w:suppressAutoHyphens/>
        <w:spacing w:line="360" w:lineRule="auto"/>
        <w:ind w:firstLine="1680" w:firstLineChars="800"/>
        <w:rPr>
          <w:rFonts w:ascii="Arial" w:hAnsi="Arial" w:eastAsia="黑体" w:cs="宋体"/>
          <w:kern w:val="24"/>
        </w:rPr>
      </w:pPr>
      <w:r>
        <w:rPr>
          <w:rFonts w:hint="eastAsia" w:ascii="Arial" w:hAnsi="Arial" w:eastAsia="黑体" w:cs="宋体"/>
          <w:kern w:val="24"/>
        </w:rPr>
        <w:t>表3 采用不同介质淬火、回火后的锻件表面硬度值       (单位：mm)</w:t>
      </w: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31"/>
        <w:gridCol w:w="2615"/>
        <w:gridCol w:w="2186"/>
        <w:gridCol w:w="21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1331" w:type="dxa"/>
            <w:noWrap w:val="0"/>
            <w:vAlign w:val="center"/>
          </w:tcPr>
          <w:p>
            <w:pPr>
              <w:snapToGrid w:val="0"/>
              <w:spacing w:line="300" w:lineRule="auto"/>
              <w:jc w:val="center"/>
              <w:rPr>
                <w:rFonts w:ascii="Arial" w:hAnsi="Arial" w:eastAsia="黑体" w:cs="Arial"/>
                <w:sz w:val="18"/>
                <w:szCs w:val="18"/>
              </w:rPr>
            </w:pPr>
            <w:r>
              <w:rPr>
                <w:rFonts w:ascii="Arial" w:hAnsi="黑体" w:eastAsia="黑体" w:cs="Arial"/>
                <w:sz w:val="18"/>
                <w:szCs w:val="18"/>
              </w:rPr>
              <w:t>方案名称</w:t>
            </w:r>
          </w:p>
        </w:tc>
        <w:tc>
          <w:tcPr>
            <w:tcW w:w="2615" w:type="dxa"/>
            <w:noWrap w:val="0"/>
            <w:vAlign w:val="center"/>
          </w:tcPr>
          <w:p>
            <w:pPr>
              <w:snapToGrid w:val="0"/>
              <w:spacing w:line="300" w:lineRule="auto"/>
              <w:jc w:val="center"/>
              <w:rPr>
                <w:rFonts w:ascii="Arial" w:hAnsi="Arial" w:eastAsia="黑体" w:cs="Arial"/>
                <w:sz w:val="18"/>
                <w:szCs w:val="18"/>
              </w:rPr>
            </w:pPr>
            <w:r>
              <w:rPr>
                <w:rFonts w:ascii="Arial" w:hAnsi="黑体" w:eastAsia="黑体" w:cs="Arial"/>
                <w:sz w:val="18"/>
                <w:szCs w:val="18"/>
              </w:rPr>
              <w:t>淬火剂种类</w:t>
            </w:r>
          </w:p>
        </w:tc>
        <w:tc>
          <w:tcPr>
            <w:tcW w:w="2186" w:type="dxa"/>
            <w:noWrap w:val="0"/>
            <w:vAlign w:val="center"/>
          </w:tcPr>
          <w:p>
            <w:pPr>
              <w:snapToGrid w:val="0"/>
              <w:spacing w:line="300" w:lineRule="auto"/>
              <w:jc w:val="center"/>
              <w:rPr>
                <w:rFonts w:ascii="Arial" w:hAnsi="Arial" w:eastAsia="黑体" w:cs="Arial"/>
                <w:sz w:val="18"/>
                <w:szCs w:val="18"/>
              </w:rPr>
            </w:pPr>
            <w:r>
              <w:rPr>
                <w:rFonts w:hint="eastAsia" w:ascii="Arial" w:hAnsi="黑体" w:eastAsia="黑体" w:cs="Arial"/>
                <w:sz w:val="18"/>
                <w:szCs w:val="18"/>
              </w:rPr>
              <w:t>厚度</w:t>
            </w:r>
            <w:r>
              <w:rPr>
                <w:rFonts w:ascii="Arial" w:hAnsi="Arial" w:eastAsia="黑体" w:cs="Arial"/>
                <w:sz w:val="18"/>
                <w:szCs w:val="18"/>
              </w:rPr>
              <w:t>/</w:t>
            </w:r>
            <w:r>
              <w:rPr>
                <w:rFonts w:hint="eastAsia" w:ascii="Arial" w:hAnsi="Arial" w:eastAsia="黑体" w:cs="Arial"/>
                <w:sz w:val="18"/>
                <w:szCs w:val="18"/>
              </w:rPr>
              <w:t>mm</w:t>
            </w:r>
          </w:p>
        </w:tc>
        <w:tc>
          <w:tcPr>
            <w:tcW w:w="2186" w:type="dxa"/>
            <w:noWrap w:val="0"/>
            <w:vAlign w:val="center"/>
          </w:tcPr>
          <w:p>
            <w:pPr>
              <w:snapToGrid w:val="0"/>
              <w:spacing w:line="300" w:lineRule="auto"/>
              <w:jc w:val="center"/>
              <w:rPr>
                <w:rFonts w:ascii="Arial" w:hAnsi="Arial" w:eastAsia="黑体" w:cs="Arial"/>
                <w:sz w:val="18"/>
                <w:szCs w:val="18"/>
              </w:rPr>
            </w:pPr>
            <w:r>
              <w:rPr>
                <w:rFonts w:ascii="Arial" w:hAnsi="黑体" w:eastAsia="黑体" w:cs="Arial"/>
                <w:sz w:val="18"/>
                <w:szCs w:val="18"/>
              </w:rPr>
              <w:t>回火后硬度值</w:t>
            </w:r>
            <w:r>
              <w:rPr>
                <w:rFonts w:ascii="Arial" w:hAnsi="Arial" w:eastAsia="黑体" w:cs="Arial"/>
                <w:sz w:val="18"/>
                <w:szCs w:val="18"/>
              </w:rPr>
              <w:t>/HRC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1331" w:type="dxa"/>
            <w:noWrap w:val="0"/>
            <w:vAlign w:val="center"/>
          </w:tcPr>
          <w:p>
            <w:pPr>
              <w:snapToGrid w:val="0"/>
              <w:spacing w:line="300" w:lineRule="auto"/>
              <w:rPr>
                <w:sz w:val="18"/>
                <w:szCs w:val="18"/>
              </w:rPr>
            </w:pPr>
            <w:r>
              <w:rPr>
                <w:sz w:val="18"/>
                <w:szCs w:val="18"/>
              </w:rPr>
              <w:t>原方案</w:t>
            </w:r>
          </w:p>
        </w:tc>
        <w:tc>
          <w:tcPr>
            <w:tcW w:w="2615" w:type="dxa"/>
            <w:noWrap w:val="0"/>
            <w:vAlign w:val="center"/>
          </w:tcPr>
          <w:p>
            <w:pPr>
              <w:snapToGrid w:val="0"/>
              <w:spacing w:line="300" w:lineRule="auto"/>
              <w:rPr>
                <w:sz w:val="18"/>
                <w:szCs w:val="18"/>
              </w:rPr>
            </w:pPr>
            <w:r>
              <w:rPr>
                <w:sz w:val="18"/>
                <w:szCs w:val="18"/>
              </w:rPr>
              <w:t>快速淬火油</w:t>
            </w:r>
          </w:p>
        </w:tc>
        <w:tc>
          <w:tcPr>
            <w:tcW w:w="2186" w:type="dxa"/>
            <w:noWrap w:val="0"/>
            <w:vAlign w:val="center"/>
          </w:tcPr>
          <w:p>
            <w:pPr>
              <w:snapToGrid w:val="0"/>
              <w:spacing w:line="300" w:lineRule="auto"/>
              <w:rPr>
                <w:sz w:val="18"/>
                <w:szCs w:val="18"/>
              </w:rPr>
            </w:pPr>
            <w:r>
              <w:rPr>
                <w:sz w:val="18"/>
                <w:szCs w:val="18"/>
              </w:rPr>
              <w:t>56，56，54.7，54.7</w:t>
            </w:r>
          </w:p>
        </w:tc>
        <w:tc>
          <w:tcPr>
            <w:tcW w:w="2186" w:type="dxa"/>
            <w:noWrap w:val="0"/>
            <w:vAlign w:val="center"/>
          </w:tcPr>
          <w:p>
            <w:pPr>
              <w:snapToGrid w:val="0"/>
              <w:spacing w:line="300" w:lineRule="auto"/>
              <w:rPr>
                <w:sz w:val="18"/>
                <w:szCs w:val="18"/>
              </w:rPr>
            </w:pPr>
            <w:r>
              <w:rPr>
                <w:sz w:val="18"/>
                <w:szCs w:val="18"/>
              </w:rPr>
              <w:t>41.8，41.8，41.8，40.5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1331" w:type="dxa"/>
            <w:noWrap w:val="0"/>
            <w:vAlign w:val="center"/>
          </w:tcPr>
          <w:p>
            <w:pPr>
              <w:snapToGrid w:val="0"/>
              <w:spacing w:line="300" w:lineRule="auto"/>
              <w:rPr>
                <w:sz w:val="18"/>
                <w:szCs w:val="18"/>
              </w:rPr>
            </w:pPr>
            <w:r>
              <w:rPr>
                <w:sz w:val="18"/>
                <w:szCs w:val="18"/>
              </w:rPr>
              <w:t>方案一</w:t>
            </w:r>
          </w:p>
        </w:tc>
        <w:tc>
          <w:tcPr>
            <w:tcW w:w="2615" w:type="dxa"/>
            <w:noWrap w:val="0"/>
            <w:vAlign w:val="center"/>
          </w:tcPr>
          <w:p>
            <w:pPr>
              <w:snapToGrid w:val="0"/>
              <w:spacing w:line="300" w:lineRule="auto"/>
              <w:rPr>
                <w:sz w:val="18"/>
                <w:szCs w:val="18"/>
              </w:rPr>
            </w:pPr>
            <w:r>
              <w:rPr>
                <w:sz w:val="18"/>
                <w:szCs w:val="18"/>
              </w:rPr>
              <w:t>盐水(20～30℃，浓度10%)</w:t>
            </w:r>
          </w:p>
        </w:tc>
        <w:tc>
          <w:tcPr>
            <w:tcW w:w="2186" w:type="dxa"/>
            <w:noWrap w:val="0"/>
            <w:vAlign w:val="center"/>
          </w:tcPr>
          <w:p>
            <w:pPr>
              <w:snapToGrid w:val="0"/>
              <w:spacing w:line="300" w:lineRule="auto"/>
              <w:rPr>
                <w:sz w:val="18"/>
                <w:szCs w:val="18"/>
              </w:rPr>
            </w:pPr>
            <w:r>
              <w:rPr>
                <w:sz w:val="18"/>
                <w:szCs w:val="18"/>
              </w:rPr>
              <w:t>57.3，60，60，60</w:t>
            </w:r>
          </w:p>
        </w:tc>
        <w:tc>
          <w:tcPr>
            <w:tcW w:w="2186" w:type="dxa"/>
            <w:noWrap w:val="0"/>
            <w:vAlign w:val="center"/>
          </w:tcPr>
          <w:p>
            <w:pPr>
              <w:snapToGrid w:val="0"/>
              <w:spacing w:line="300" w:lineRule="auto"/>
              <w:rPr>
                <w:sz w:val="18"/>
                <w:szCs w:val="18"/>
              </w:rPr>
            </w:pPr>
            <w:r>
              <w:rPr>
                <w:sz w:val="18"/>
                <w:szCs w:val="18"/>
              </w:rPr>
              <w:t>40.5，41.8，39.1，40.5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1331" w:type="dxa"/>
            <w:noWrap w:val="0"/>
            <w:vAlign w:val="center"/>
          </w:tcPr>
          <w:p>
            <w:pPr>
              <w:snapToGrid w:val="0"/>
              <w:spacing w:line="300" w:lineRule="auto"/>
              <w:rPr>
                <w:sz w:val="18"/>
                <w:szCs w:val="18"/>
              </w:rPr>
            </w:pPr>
            <w:r>
              <w:rPr>
                <w:sz w:val="18"/>
                <w:szCs w:val="18"/>
              </w:rPr>
              <w:t>方案二</w:t>
            </w:r>
          </w:p>
        </w:tc>
        <w:tc>
          <w:tcPr>
            <w:tcW w:w="2615" w:type="dxa"/>
            <w:noWrap w:val="0"/>
            <w:vAlign w:val="center"/>
          </w:tcPr>
          <w:p>
            <w:pPr>
              <w:snapToGrid w:val="0"/>
              <w:spacing w:line="300" w:lineRule="auto"/>
              <w:rPr>
                <w:sz w:val="18"/>
                <w:szCs w:val="18"/>
              </w:rPr>
            </w:pPr>
            <w:r>
              <w:rPr>
                <w:sz w:val="18"/>
                <w:szCs w:val="18"/>
              </w:rPr>
              <w:t>自来水(20～30℃)</w:t>
            </w:r>
          </w:p>
        </w:tc>
        <w:tc>
          <w:tcPr>
            <w:tcW w:w="2186" w:type="dxa"/>
            <w:noWrap w:val="0"/>
            <w:vAlign w:val="center"/>
          </w:tcPr>
          <w:p>
            <w:pPr>
              <w:snapToGrid w:val="0"/>
              <w:spacing w:line="300" w:lineRule="auto"/>
              <w:rPr>
                <w:sz w:val="18"/>
                <w:szCs w:val="18"/>
              </w:rPr>
            </w:pPr>
            <w:r>
              <w:rPr>
                <w:sz w:val="18"/>
                <w:szCs w:val="18"/>
              </w:rPr>
              <w:t>63.3，60，58.7，60</w:t>
            </w:r>
          </w:p>
        </w:tc>
        <w:tc>
          <w:tcPr>
            <w:tcW w:w="2186" w:type="dxa"/>
            <w:noWrap w:val="0"/>
            <w:vAlign w:val="center"/>
          </w:tcPr>
          <w:p>
            <w:pPr>
              <w:snapToGrid w:val="0"/>
              <w:spacing w:line="300" w:lineRule="auto"/>
              <w:rPr>
                <w:sz w:val="18"/>
                <w:szCs w:val="18"/>
              </w:rPr>
            </w:pPr>
            <w:r>
              <w:rPr>
                <w:sz w:val="18"/>
                <w:szCs w:val="18"/>
              </w:rPr>
              <w:t>39.1，37.9，37，37.9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1331" w:type="dxa"/>
            <w:noWrap w:val="0"/>
            <w:vAlign w:val="center"/>
          </w:tcPr>
          <w:p>
            <w:pPr>
              <w:snapToGrid w:val="0"/>
              <w:spacing w:line="300" w:lineRule="auto"/>
              <w:rPr>
                <w:sz w:val="18"/>
                <w:szCs w:val="18"/>
              </w:rPr>
            </w:pPr>
            <w:r>
              <w:rPr>
                <w:sz w:val="18"/>
                <w:szCs w:val="18"/>
              </w:rPr>
              <w:t>方案三</w:t>
            </w:r>
          </w:p>
        </w:tc>
        <w:tc>
          <w:tcPr>
            <w:tcW w:w="2615" w:type="dxa"/>
            <w:noWrap w:val="0"/>
            <w:vAlign w:val="center"/>
          </w:tcPr>
          <w:p>
            <w:pPr>
              <w:snapToGrid w:val="0"/>
              <w:spacing w:line="300" w:lineRule="auto"/>
              <w:rPr>
                <w:sz w:val="18"/>
                <w:szCs w:val="18"/>
              </w:rPr>
            </w:pPr>
            <w:r>
              <w:rPr>
                <w:sz w:val="18"/>
                <w:szCs w:val="18"/>
              </w:rPr>
              <w:t>循环水1(30～45℃)</w:t>
            </w:r>
          </w:p>
        </w:tc>
        <w:tc>
          <w:tcPr>
            <w:tcW w:w="2186" w:type="dxa"/>
            <w:noWrap w:val="0"/>
            <w:vAlign w:val="center"/>
          </w:tcPr>
          <w:p>
            <w:pPr>
              <w:snapToGrid w:val="0"/>
              <w:spacing w:line="300" w:lineRule="auto"/>
              <w:rPr>
                <w:sz w:val="18"/>
                <w:szCs w:val="18"/>
              </w:rPr>
            </w:pPr>
            <w:r>
              <w:rPr>
                <w:sz w:val="18"/>
                <w:szCs w:val="18"/>
              </w:rPr>
              <w:t>61.7，61.7，60，60</w:t>
            </w:r>
          </w:p>
        </w:tc>
        <w:tc>
          <w:tcPr>
            <w:tcW w:w="2186" w:type="dxa"/>
            <w:noWrap w:val="0"/>
            <w:vAlign w:val="center"/>
          </w:tcPr>
          <w:p>
            <w:pPr>
              <w:snapToGrid w:val="0"/>
              <w:spacing w:line="300" w:lineRule="auto"/>
              <w:rPr>
                <w:sz w:val="18"/>
                <w:szCs w:val="18"/>
              </w:rPr>
            </w:pPr>
            <w:r>
              <w:rPr>
                <w:sz w:val="18"/>
                <w:szCs w:val="18"/>
              </w:rPr>
              <w:t>40.5，40.5，41.8，41.8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1331" w:type="dxa"/>
            <w:noWrap w:val="0"/>
            <w:vAlign w:val="center"/>
          </w:tcPr>
          <w:p>
            <w:pPr>
              <w:snapToGrid w:val="0"/>
              <w:spacing w:line="300" w:lineRule="auto"/>
              <w:rPr>
                <w:sz w:val="18"/>
                <w:szCs w:val="18"/>
              </w:rPr>
            </w:pPr>
            <w:r>
              <w:rPr>
                <w:sz w:val="18"/>
                <w:szCs w:val="18"/>
              </w:rPr>
              <w:t>方案四</w:t>
            </w:r>
          </w:p>
        </w:tc>
        <w:tc>
          <w:tcPr>
            <w:tcW w:w="2615" w:type="dxa"/>
            <w:noWrap w:val="0"/>
            <w:vAlign w:val="center"/>
          </w:tcPr>
          <w:p>
            <w:pPr>
              <w:snapToGrid w:val="0"/>
              <w:spacing w:line="300" w:lineRule="auto"/>
              <w:rPr>
                <w:sz w:val="18"/>
                <w:szCs w:val="18"/>
              </w:rPr>
            </w:pPr>
            <w:r>
              <w:rPr>
                <w:sz w:val="18"/>
                <w:szCs w:val="18"/>
              </w:rPr>
              <w:t>循环水2(45～60℃)</w:t>
            </w:r>
          </w:p>
        </w:tc>
        <w:tc>
          <w:tcPr>
            <w:tcW w:w="2186" w:type="dxa"/>
            <w:noWrap w:val="0"/>
            <w:vAlign w:val="center"/>
          </w:tcPr>
          <w:p>
            <w:pPr>
              <w:snapToGrid w:val="0"/>
              <w:spacing w:line="300" w:lineRule="auto"/>
              <w:rPr>
                <w:sz w:val="18"/>
                <w:szCs w:val="18"/>
              </w:rPr>
            </w:pPr>
            <w:r>
              <w:rPr>
                <w:sz w:val="18"/>
                <w:szCs w:val="18"/>
              </w:rPr>
              <w:t>54，54，54.7，49.6</w:t>
            </w:r>
          </w:p>
        </w:tc>
        <w:tc>
          <w:tcPr>
            <w:tcW w:w="2186" w:type="dxa"/>
            <w:noWrap w:val="0"/>
            <w:vAlign w:val="center"/>
          </w:tcPr>
          <w:p>
            <w:pPr>
              <w:snapToGrid w:val="0"/>
              <w:spacing w:line="300" w:lineRule="auto"/>
              <w:rPr>
                <w:sz w:val="18"/>
                <w:szCs w:val="18"/>
              </w:rPr>
            </w:pPr>
            <w:r>
              <w:rPr>
                <w:sz w:val="18"/>
                <w:szCs w:val="18"/>
              </w:rPr>
              <w:t>37.5，40.5，37.9，37.5</w:t>
            </w:r>
          </w:p>
        </w:tc>
      </w:tr>
    </w:tbl>
    <w:p>
      <w:pPr>
        <w:pStyle w:val="5"/>
        <w:spacing w:line="360" w:lineRule="auto"/>
        <w:rPr>
          <w:rFonts w:eastAsia="楷体" w:cs="宋体"/>
          <w:sz w:val="15"/>
          <w:szCs w:val="15"/>
        </w:rPr>
      </w:pPr>
      <w:r>
        <w:rPr>
          <w:rFonts w:hint="eastAsia" w:eastAsia="楷体" w:cs="宋体"/>
          <w:sz w:val="15"/>
          <w:szCs w:val="15"/>
        </w:rPr>
        <w:t>注：⑴表面硬度均采用布氏硬度计检测，此处为方便比较均转换成了相对应的HRC</w:t>
      </w:r>
      <w:r>
        <w:rPr>
          <w:rFonts w:eastAsia="楷体" w:cs="宋体"/>
          <w:sz w:val="15"/>
          <w:szCs w:val="15"/>
        </w:rPr>
        <w:t>洛氏硬度</w:t>
      </w:r>
      <w:r>
        <w:rPr>
          <w:rFonts w:hint="eastAsia" w:eastAsia="楷体" w:cs="宋体"/>
          <w:sz w:val="15"/>
          <w:szCs w:val="15"/>
        </w:rPr>
        <w:t>值。</w:t>
      </w:r>
    </w:p>
    <w:p>
      <w:pPr>
        <w:pStyle w:val="5"/>
        <w:spacing w:line="360" w:lineRule="auto"/>
        <w:ind w:firstLine="199" w:firstLineChars="133"/>
        <w:rPr>
          <w:rFonts w:eastAsia="楷体" w:cs="宋体"/>
          <w:sz w:val="15"/>
          <w:szCs w:val="15"/>
        </w:rPr>
      </w:pPr>
      <w:r>
        <w:rPr>
          <w:rFonts w:eastAsia="楷体" w:cs="宋体"/>
          <w:sz w:val="15"/>
          <w:szCs w:val="15"/>
        </w:rPr>
        <w:t>   </w:t>
      </w:r>
      <w:r>
        <w:rPr>
          <w:rFonts w:hint="eastAsia" w:eastAsia="楷体" w:cs="宋体"/>
          <w:sz w:val="15"/>
          <w:szCs w:val="15"/>
        </w:rPr>
        <w:t>⑵淬火后硬度值的换算超出了</w:t>
      </w:r>
      <w:r>
        <w:rPr>
          <w:rFonts w:eastAsia="楷体" w:cs="宋体"/>
          <w:sz w:val="15"/>
          <w:szCs w:val="15"/>
        </w:rPr>
        <w:t>GB/T</w:t>
      </w:r>
      <w:r>
        <w:rPr>
          <w:rFonts w:hint="eastAsia" w:eastAsia="楷体" w:cs="宋体"/>
          <w:sz w:val="15"/>
          <w:szCs w:val="15"/>
        </w:rPr>
        <w:t xml:space="preserve"> </w:t>
      </w:r>
      <w:r>
        <w:rPr>
          <w:rFonts w:eastAsia="楷体" w:cs="宋体"/>
          <w:sz w:val="15"/>
          <w:szCs w:val="15"/>
        </w:rPr>
        <w:t>1172</w:t>
      </w:r>
      <w:r>
        <w:rPr>
          <w:rFonts w:hint="eastAsia" w:eastAsia="楷体" w:cs="宋体"/>
          <w:sz w:val="15"/>
          <w:szCs w:val="15"/>
        </w:rPr>
        <w:t>—</w:t>
      </w:r>
      <w:r>
        <w:rPr>
          <w:rFonts w:eastAsia="楷体" w:cs="宋体"/>
          <w:sz w:val="15"/>
          <w:szCs w:val="15"/>
        </w:rPr>
        <w:t>1999</w:t>
      </w:r>
      <w:r>
        <w:rPr>
          <w:rFonts w:hint="eastAsia" w:eastAsia="楷体" w:cs="宋体"/>
          <w:sz w:val="15"/>
          <w:szCs w:val="15"/>
        </w:rPr>
        <w:t>标准规定的范围，仅供参考。</w:t>
      </w:r>
    </w:p>
    <w:p>
      <w:pPr>
        <w:pStyle w:val="5"/>
        <w:spacing w:line="360" w:lineRule="auto"/>
        <w:ind w:firstLine="420"/>
        <w:rPr>
          <w:rFonts w:cs="宋体"/>
        </w:rPr>
      </w:pPr>
    </w:p>
    <w:p>
      <w:pPr>
        <w:pStyle w:val="5"/>
        <w:spacing w:line="360" w:lineRule="auto"/>
        <w:ind w:firstLine="420"/>
        <w:rPr>
          <w:rFonts w:cs="宋体"/>
        </w:rPr>
      </w:pPr>
      <w:r>
        <w:rPr>
          <w:rFonts w:hint="eastAsia" w:cs="宋体"/>
        </w:rPr>
        <w:t>表格中的双竖线：</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0"/>
        <w:gridCol w:w="1420"/>
        <w:gridCol w:w="1420"/>
        <w:gridCol w:w="1420"/>
        <w:gridCol w:w="1421"/>
        <w:gridCol w:w="14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noWrap w:val="0"/>
            <w:vAlign w:val="center"/>
          </w:tcPr>
          <w:p>
            <w:pPr>
              <w:snapToGrid w:val="0"/>
              <w:spacing w:line="300" w:lineRule="auto"/>
              <w:jc w:val="center"/>
              <w:rPr>
                <w:rFonts w:ascii="Arial" w:hAnsi="黑体" w:eastAsia="黑体" w:cs="Arial"/>
                <w:sz w:val="18"/>
                <w:szCs w:val="18"/>
              </w:rPr>
            </w:pPr>
            <w:r>
              <w:rPr>
                <w:rFonts w:hint="eastAsia" w:ascii="Arial" w:hAnsi="黑体" w:eastAsia="黑体" w:cs="Arial"/>
                <w:sz w:val="18"/>
                <w:szCs w:val="18"/>
              </w:rPr>
              <w:t>名称</w:t>
            </w:r>
          </w:p>
        </w:tc>
        <w:tc>
          <w:tcPr>
            <w:tcW w:w="1420" w:type="dxa"/>
            <w:noWrap w:val="0"/>
            <w:vAlign w:val="center"/>
          </w:tcPr>
          <w:p>
            <w:pPr>
              <w:snapToGrid w:val="0"/>
              <w:spacing w:line="300" w:lineRule="auto"/>
              <w:jc w:val="center"/>
              <w:rPr>
                <w:rFonts w:ascii="Arial" w:hAnsi="黑体" w:eastAsia="黑体" w:cs="Arial"/>
                <w:sz w:val="18"/>
                <w:szCs w:val="18"/>
              </w:rPr>
            </w:pPr>
            <w:r>
              <w:rPr>
                <w:rFonts w:hint="eastAsia" w:ascii="Arial" w:hAnsi="黑体" w:eastAsia="黑体" w:cs="Arial"/>
                <w:sz w:val="18"/>
                <w:szCs w:val="18"/>
              </w:rPr>
              <w:t>允许值</w:t>
            </w:r>
            <w:r>
              <w:rPr>
                <w:rFonts w:ascii="Arial" w:hAnsi="Arial" w:eastAsia="黑体" w:cs="Arial"/>
                <w:sz w:val="18"/>
                <w:szCs w:val="18"/>
              </w:rPr>
              <w:t>/</w:t>
            </w:r>
            <w:r>
              <w:rPr>
                <w:rFonts w:hint="eastAsia" w:ascii="Arial" w:hAnsi="Arial" w:eastAsia="黑体" w:cs="Arial"/>
                <w:sz w:val="18"/>
                <w:szCs w:val="18"/>
              </w:rPr>
              <w:t>mm</w:t>
            </w:r>
          </w:p>
        </w:tc>
        <w:tc>
          <w:tcPr>
            <w:tcW w:w="1420" w:type="dxa"/>
            <w:tcBorders>
              <w:right w:val="double" w:color="auto" w:sz="4" w:space="0"/>
            </w:tcBorders>
            <w:noWrap w:val="0"/>
            <w:vAlign w:val="center"/>
          </w:tcPr>
          <w:p>
            <w:pPr>
              <w:snapToGrid w:val="0"/>
              <w:spacing w:line="300" w:lineRule="auto"/>
              <w:jc w:val="center"/>
              <w:rPr>
                <w:rFonts w:ascii="Arial" w:hAnsi="黑体" w:eastAsia="黑体" w:cs="Arial"/>
                <w:sz w:val="18"/>
                <w:szCs w:val="18"/>
              </w:rPr>
            </w:pPr>
            <w:r>
              <w:rPr>
                <w:rFonts w:hint="eastAsia" w:ascii="Arial" w:hAnsi="黑体" w:eastAsia="黑体" w:cs="Arial"/>
                <w:sz w:val="18"/>
                <w:szCs w:val="18"/>
              </w:rPr>
              <w:t>实际值</w:t>
            </w:r>
            <w:r>
              <w:rPr>
                <w:rFonts w:ascii="Arial" w:hAnsi="Arial" w:eastAsia="黑体" w:cs="Arial"/>
                <w:sz w:val="18"/>
                <w:szCs w:val="18"/>
              </w:rPr>
              <w:t>/</w:t>
            </w:r>
            <w:r>
              <w:rPr>
                <w:rFonts w:hint="eastAsia" w:ascii="Arial" w:hAnsi="Arial" w:eastAsia="黑体" w:cs="Arial"/>
                <w:sz w:val="18"/>
                <w:szCs w:val="18"/>
              </w:rPr>
              <w:t>mm</w:t>
            </w:r>
          </w:p>
        </w:tc>
        <w:tc>
          <w:tcPr>
            <w:tcW w:w="1420" w:type="dxa"/>
            <w:tcBorders>
              <w:left w:val="double" w:color="auto" w:sz="4" w:space="0"/>
            </w:tcBorders>
            <w:noWrap w:val="0"/>
            <w:vAlign w:val="center"/>
          </w:tcPr>
          <w:p>
            <w:pPr>
              <w:pStyle w:val="5"/>
              <w:spacing w:line="360" w:lineRule="auto"/>
              <w:jc w:val="center"/>
              <w:rPr>
                <w:rFonts w:ascii="Arial" w:hAnsi="黑体" w:eastAsia="黑体" w:cs="Arial"/>
                <w:sz w:val="18"/>
                <w:szCs w:val="18"/>
              </w:rPr>
            </w:pPr>
            <w:r>
              <w:rPr>
                <w:rFonts w:hint="eastAsia" w:ascii="Arial" w:hAnsi="黑体" w:eastAsia="黑体" w:cs="Arial"/>
                <w:sz w:val="18"/>
                <w:szCs w:val="18"/>
              </w:rPr>
              <w:t>名称</w:t>
            </w:r>
          </w:p>
        </w:tc>
        <w:tc>
          <w:tcPr>
            <w:tcW w:w="1421" w:type="dxa"/>
            <w:noWrap w:val="0"/>
            <w:vAlign w:val="center"/>
          </w:tcPr>
          <w:p>
            <w:pPr>
              <w:pStyle w:val="5"/>
              <w:spacing w:line="360" w:lineRule="auto"/>
              <w:jc w:val="center"/>
              <w:rPr>
                <w:rFonts w:ascii="Arial" w:hAnsi="黑体" w:eastAsia="黑体" w:cs="Arial"/>
                <w:sz w:val="18"/>
                <w:szCs w:val="18"/>
              </w:rPr>
            </w:pPr>
            <w:r>
              <w:rPr>
                <w:rFonts w:hint="eastAsia" w:ascii="Arial" w:hAnsi="黑体" w:eastAsia="黑体" w:cs="Arial"/>
                <w:sz w:val="18"/>
                <w:szCs w:val="18"/>
              </w:rPr>
              <w:t>允许值</w:t>
            </w:r>
            <w:r>
              <w:rPr>
                <w:rFonts w:ascii="Arial" w:hAnsi="Arial" w:eastAsia="黑体" w:cs="Arial"/>
                <w:sz w:val="18"/>
                <w:szCs w:val="18"/>
              </w:rPr>
              <w:t>/</w:t>
            </w:r>
            <w:r>
              <w:rPr>
                <w:rFonts w:hint="eastAsia" w:ascii="Arial" w:hAnsi="Arial" w:eastAsia="黑体" w:cs="Arial"/>
                <w:sz w:val="18"/>
                <w:szCs w:val="18"/>
              </w:rPr>
              <w:t>mm</w:t>
            </w:r>
          </w:p>
        </w:tc>
        <w:tc>
          <w:tcPr>
            <w:tcW w:w="1421" w:type="dxa"/>
            <w:noWrap w:val="0"/>
            <w:vAlign w:val="center"/>
          </w:tcPr>
          <w:p>
            <w:pPr>
              <w:pStyle w:val="5"/>
              <w:spacing w:line="360" w:lineRule="auto"/>
              <w:jc w:val="center"/>
              <w:rPr>
                <w:rFonts w:ascii="Arial" w:hAnsi="黑体" w:eastAsia="黑体" w:cs="Arial"/>
                <w:sz w:val="18"/>
                <w:szCs w:val="18"/>
              </w:rPr>
            </w:pPr>
            <w:r>
              <w:rPr>
                <w:rFonts w:hint="eastAsia" w:ascii="Arial" w:hAnsi="黑体" w:eastAsia="黑体" w:cs="Arial"/>
                <w:sz w:val="18"/>
                <w:szCs w:val="18"/>
              </w:rPr>
              <w:t>实际值</w:t>
            </w:r>
            <w:r>
              <w:rPr>
                <w:rFonts w:ascii="Arial" w:hAnsi="Arial" w:eastAsia="黑体" w:cs="Arial"/>
                <w:sz w:val="18"/>
                <w:szCs w:val="18"/>
              </w:rPr>
              <w:t>/</w:t>
            </w:r>
            <w:r>
              <w:rPr>
                <w:rFonts w:hint="eastAsia" w:ascii="Arial" w:hAnsi="Arial" w:eastAsia="黑体" w:cs="Arial"/>
                <w:sz w:val="18"/>
                <w:szCs w:val="18"/>
              </w:rPr>
              <w:t>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noWrap w:val="0"/>
            <w:vAlign w:val="top"/>
          </w:tcPr>
          <w:p>
            <w:pPr>
              <w:pStyle w:val="5"/>
              <w:spacing w:line="360" w:lineRule="auto"/>
              <w:rPr>
                <w:rFonts w:cs="宋体"/>
              </w:rPr>
            </w:pPr>
            <w:r>
              <w:rPr>
                <w:rFonts w:hint="eastAsia" w:cs="宋体"/>
              </w:rPr>
              <w:t>—</w:t>
            </w:r>
          </w:p>
        </w:tc>
        <w:tc>
          <w:tcPr>
            <w:tcW w:w="1420" w:type="dxa"/>
            <w:noWrap w:val="0"/>
            <w:vAlign w:val="top"/>
          </w:tcPr>
          <w:p>
            <w:pPr>
              <w:pStyle w:val="5"/>
              <w:spacing w:line="360" w:lineRule="auto"/>
              <w:rPr>
                <w:rFonts w:cs="宋体"/>
              </w:rPr>
            </w:pPr>
            <w:r>
              <w:rPr>
                <w:rFonts w:hint="eastAsia" w:cs="宋体"/>
              </w:rPr>
              <w:t>—</w:t>
            </w:r>
          </w:p>
        </w:tc>
        <w:tc>
          <w:tcPr>
            <w:tcW w:w="1420" w:type="dxa"/>
            <w:tcBorders>
              <w:right w:val="double" w:color="auto" w:sz="4" w:space="0"/>
            </w:tcBorders>
            <w:noWrap w:val="0"/>
            <w:vAlign w:val="top"/>
          </w:tcPr>
          <w:p>
            <w:pPr>
              <w:pStyle w:val="5"/>
              <w:spacing w:line="360" w:lineRule="auto"/>
              <w:rPr>
                <w:rFonts w:cs="宋体"/>
              </w:rPr>
            </w:pPr>
            <w:r>
              <w:rPr>
                <w:rFonts w:hint="eastAsia" w:cs="宋体"/>
              </w:rPr>
              <w:t>—</w:t>
            </w:r>
          </w:p>
        </w:tc>
        <w:tc>
          <w:tcPr>
            <w:tcW w:w="1420" w:type="dxa"/>
            <w:tcBorders>
              <w:left w:val="double" w:color="auto" w:sz="4" w:space="0"/>
            </w:tcBorders>
            <w:noWrap w:val="0"/>
            <w:vAlign w:val="top"/>
          </w:tcPr>
          <w:p>
            <w:pPr>
              <w:pStyle w:val="5"/>
              <w:spacing w:line="360" w:lineRule="auto"/>
              <w:rPr>
                <w:rFonts w:cs="宋体"/>
              </w:rPr>
            </w:pPr>
          </w:p>
        </w:tc>
        <w:tc>
          <w:tcPr>
            <w:tcW w:w="1421" w:type="dxa"/>
            <w:noWrap w:val="0"/>
            <w:vAlign w:val="top"/>
          </w:tcPr>
          <w:p>
            <w:pPr>
              <w:pStyle w:val="5"/>
              <w:spacing w:line="360" w:lineRule="auto"/>
              <w:rPr>
                <w:rFonts w:cs="宋体"/>
              </w:rPr>
            </w:pPr>
          </w:p>
        </w:tc>
        <w:tc>
          <w:tcPr>
            <w:tcW w:w="1421" w:type="dxa"/>
            <w:noWrap w:val="0"/>
            <w:vAlign w:val="top"/>
          </w:tcPr>
          <w:p>
            <w:pPr>
              <w:pStyle w:val="5"/>
              <w:spacing w:line="360" w:lineRule="auto"/>
              <w:rPr>
                <w:rFonts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noWrap w:val="0"/>
            <w:vAlign w:val="top"/>
          </w:tcPr>
          <w:p>
            <w:pPr>
              <w:pStyle w:val="5"/>
              <w:spacing w:line="360" w:lineRule="auto"/>
              <w:rPr>
                <w:rFonts w:cs="宋体"/>
              </w:rPr>
            </w:pPr>
            <w:r>
              <w:rPr>
                <w:rFonts w:hint="eastAsia" w:cs="宋体"/>
              </w:rPr>
              <w:t>—</w:t>
            </w:r>
          </w:p>
        </w:tc>
        <w:tc>
          <w:tcPr>
            <w:tcW w:w="1420" w:type="dxa"/>
            <w:noWrap w:val="0"/>
            <w:vAlign w:val="top"/>
          </w:tcPr>
          <w:p>
            <w:pPr>
              <w:pStyle w:val="5"/>
              <w:spacing w:line="360" w:lineRule="auto"/>
              <w:rPr>
                <w:rFonts w:cs="宋体"/>
              </w:rPr>
            </w:pPr>
            <w:r>
              <w:rPr>
                <w:rFonts w:hint="eastAsia" w:cs="宋体"/>
              </w:rPr>
              <w:t>—</w:t>
            </w:r>
          </w:p>
        </w:tc>
        <w:tc>
          <w:tcPr>
            <w:tcW w:w="1420" w:type="dxa"/>
            <w:tcBorders>
              <w:right w:val="double" w:color="auto" w:sz="4" w:space="0"/>
            </w:tcBorders>
            <w:noWrap w:val="0"/>
            <w:vAlign w:val="top"/>
          </w:tcPr>
          <w:p>
            <w:pPr>
              <w:pStyle w:val="5"/>
              <w:spacing w:line="360" w:lineRule="auto"/>
              <w:rPr>
                <w:rFonts w:cs="宋体"/>
              </w:rPr>
            </w:pPr>
            <w:r>
              <w:rPr>
                <w:rFonts w:hint="eastAsia" w:cs="宋体"/>
              </w:rPr>
              <w:t>—</w:t>
            </w:r>
          </w:p>
        </w:tc>
        <w:tc>
          <w:tcPr>
            <w:tcW w:w="1420" w:type="dxa"/>
            <w:tcBorders>
              <w:left w:val="double" w:color="auto" w:sz="4" w:space="0"/>
            </w:tcBorders>
            <w:noWrap w:val="0"/>
            <w:vAlign w:val="top"/>
          </w:tcPr>
          <w:p>
            <w:pPr>
              <w:pStyle w:val="5"/>
              <w:spacing w:line="360" w:lineRule="auto"/>
              <w:rPr>
                <w:rFonts w:cs="宋体"/>
              </w:rPr>
            </w:pPr>
          </w:p>
        </w:tc>
        <w:tc>
          <w:tcPr>
            <w:tcW w:w="1421" w:type="dxa"/>
            <w:noWrap w:val="0"/>
            <w:vAlign w:val="top"/>
          </w:tcPr>
          <w:p>
            <w:pPr>
              <w:pStyle w:val="5"/>
              <w:spacing w:line="360" w:lineRule="auto"/>
              <w:rPr>
                <w:rFonts w:cs="宋体"/>
              </w:rPr>
            </w:pPr>
          </w:p>
        </w:tc>
        <w:tc>
          <w:tcPr>
            <w:tcW w:w="1421" w:type="dxa"/>
            <w:noWrap w:val="0"/>
            <w:vAlign w:val="top"/>
          </w:tcPr>
          <w:p>
            <w:pPr>
              <w:pStyle w:val="5"/>
              <w:spacing w:line="360" w:lineRule="auto"/>
              <w:rPr>
                <w:rFonts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noWrap w:val="0"/>
            <w:vAlign w:val="top"/>
          </w:tcPr>
          <w:p>
            <w:pPr>
              <w:pStyle w:val="5"/>
              <w:spacing w:line="360" w:lineRule="auto"/>
              <w:rPr>
                <w:rFonts w:cs="宋体"/>
              </w:rPr>
            </w:pPr>
            <w:r>
              <w:rPr>
                <w:rFonts w:hint="eastAsia" w:cs="宋体"/>
              </w:rPr>
              <w:t>—</w:t>
            </w:r>
          </w:p>
        </w:tc>
        <w:tc>
          <w:tcPr>
            <w:tcW w:w="1420" w:type="dxa"/>
            <w:noWrap w:val="0"/>
            <w:vAlign w:val="top"/>
          </w:tcPr>
          <w:p>
            <w:pPr>
              <w:pStyle w:val="5"/>
              <w:spacing w:line="360" w:lineRule="auto"/>
              <w:rPr>
                <w:rFonts w:cs="宋体"/>
              </w:rPr>
            </w:pPr>
            <w:r>
              <w:rPr>
                <w:rFonts w:hint="eastAsia" w:cs="宋体"/>
              </w:rPr>
              <w:t>—</w:t>
            </w:r>
          </w:p>
        </w:tc>
        <w:tc>
          <w:tcPr>
            <w:tcW w:w="1420" w:type="dxa"/>
            <w:tcBorders>
              <w:right w:val="double" w:color="auto" w:sz="4" w:space="0"/>
            </w:tcBorders>
            <w:noWrap w:val="0"/>
            <w:vAlign w:val="top"/>
          </w:tcPr>
          <w:p>
            <w:pPr>
              <w:pStyle w:val="5"/>
              <w:spacing w:line="360" w:lineRule="auto"/>
              <w:rPr>
                <w:rFonts w:cs="宋体"/>
              </w:rPr>
            </w:pPr>
            <w:r>
              <w:rPr>
                <w:rFonts w:hint="eastAsia" w:cs="宋体"/>
              </w:rPr>
              <w:t>—</w:t>
            </w:r>
          </w:p>
        </w:tc>
        <w:tc>
          <w:tcPr>
            <w:tcW w:w="1420" w:type="dxa"/>
            <w:tcBorders>
              <w:left w:val="double" w:color="auto" w:sz="4" w:space="0"/>
            </w:tcBorders>
            <w:noWrap w:val="0"/>
            <w:vAlign w:val="top"/>
          </w:tcPr>
          <w:p>
            <w:pPr>
              <w:pStyle w:val="5"/>
              <w:spacing w:line="360" w:lineRule="auto"/>
              <w:rPr>
                <w:rFonts w:cs="宋体"/>
              </w:rPr>
            </w:pPr>
          </w:p>
        </w:tc>
        <w:tc>
          <w:tcPr>
            <w:tcW w:w="1421" w:type="dxa"/>
            <w:noWrap w:val="0"/>
            <w:vAlign w:val="top"/>
          </w:tcPr>
          <w:p>
            <w:pPr>
              <w:pStyle w:val="5"/>
              <w:spacing w:line="360" w:lineRule="auto"/>
              <w:rPr>
                <w:rFonts w:cs="宋体"/>
              </w:rPr>
            </w:pPr>
          </w:p>
        </w:tc>
        <w:tc>
          <w:tcPr>
            <w:tcW w:w="1421" w:type="dxa"/>
            <w:noWrap w:val="0"/>
            <w:vAlign w:val="top"/>
          </w:tcPr>
          <w:p>
            <w:pPr>
              <w:pStyle w:val="5"/>
              <w:spacing w:line="360" w:lineRule="auto"/>
              <w:rPr>
                <w:rFonts w:cs="宋体"/>
              </w:rPr>
            </w:pPr>
          </w:p>
        </w:tc>
      </w:tr>
    </w:tbl>
    <w:p>
      <w:pPr>
        <w:pStyle w:val="5"/>
        <w:spacing w:line="360" w:lineRule="auto"/>
        <w:rPr>
          <w:rFonts w:cs="宋体"/>
        </w:rPr>
      </w:pPr>
    </w:p>
    <w:p>
      <w:pPr>
        <w:pStyle w:val="5"/>
        <w:spacing w:line="360" w:lineRule="auto"/>
        <w:ind w:firstLine="420"/>
        <w:rPr>
          <w:rFonts w:cs="宋体"/>
        </w:rPr>
      </w:pPr>
      <w:r>
        <w:rPr>
          <w:rFonts w:hint="eastAsia" w:cs="宋体"/>
        </w:rPr>
        <w:t>公式的排版格式一</w:t>
      </w:r>
      <w:r>
        <w:rPr>
          <w:rFonts w:hint="eastAsia" w:cs="宋体"/>
          <w:color w:val="FF0000"/>
        </w:rPr>
        <w:t>(文章中尽量避免公式出现尤其是复杂的公式，但也要注意，如果公式对于文章来说是重点内容，对于文中所述内容比较关键，也可以保留，但要尽量让公式简化)</w:t>
      </w:r>
    </w:p>
    <w:p>
      <w:pPr>
        <w:pStyle w:val="5"/>
        <w:spacing w:line="360" w:lineRule="auto"/>
        <w:ind w:firstLine="420"/>
        <w:rPr>
          <w:rFonts w:cs="宋体"/>
        </w:rPr>
      </w:pPr>
      <w:r>
        <w:rPr>
          <w:rFonts w:hint="eastAsia" w:cs="宋体"/>
        </w:rPr>
        <w:t>根据坯料锻造过程中体积不变的原理，经计算，最终得到弧形板成形前坯料厚度差</w:t>
      </w:r>
      <w:r>
        <w:t>Δ</w:t>
      </w:r>
      <w:r>
        <w:rPr>
          <w:rFonts w:hint="eastAsia" w:cs="宋体"/>
          <w:i/>
        </w:rPr>
        <w:t>H</w:t>
      </w:r>
      <w:r>
        <w:rPr>
          <w:rFonts w:hint="eastAsia" w:cs="宋体"/>
        </w:rPr>
        <w:t>的计算公式为：</w:t>
      </w:r>
    </w:p>
    <w:p>
      <w:pPr>
        <w:pStyle w:val="5"/>
        <w:spacing w:line="360" w:lineRule="auto"/>
        <w:ind w:firstLine="3255" w:firstLineChars="1550"/>
        <w:rPr>
          <w:rFonts w:cs="宋体"/>
        </w:rPr>
      </w:pPr>
      <w:r>
        <w:t>Δ</w:t>
      </w:r>
      <w:r>
        <w:rPr>
          <w:rFonts w:hint="eastAsia" w:cs="宋体"/>
          <w:i/>
        </w:rPr>
        <w:t>H</w:t>
      </w:r>
      <w:r>
        <w:rPr>
          <w:rFonts w:hint="eastAsia" w:cs="宋体"/>
        </w:rPr>
        <w:t>＝</w:t>
      </w:r>
      <w:r>
        <w:t>Δ</w:t>
      </w:r>
      <w:r>
        <w:rPr>
          <w:i/>
        </w:rPr>
        <w:t>L</w:t>
      </w:r>
      <w:r>
        <w:rPr>
          <w:rFonts w:hint="eastAsia"/>
          <w:i/>
        </w:rPr>
        <w:t>R</w:t>
      </w:r>
      <w:r>
        <w:rPr>
          <w:rFonts w:hint="eastAsia"/>
          <w:vertAlign w:val="subscript"/>
        </w:rPr>
        <w:t>1</w:t>
      </w:r>
      <w:r>
        <w:rPr>
          <w:i/>
        </w:rPr>
        <w:t>H</w:t>
      </w:r>
      <w:r>
        <w:t>/</w:t>
      </w:r>
      <w:r>
        <w:rPr>
          <w:i/>
        </w:rPr>
        <w:t>BL</w:t>
      </w:r>
      <w:r>
        <w:rPr>
          <w:rFonts w:hint="eastAsia"/>
        </w:rPr>
        <w:t>－</w:t>
      </w:r>
      <w:r>
        <w:rPr>
          <w:i/>
        </w:rPr>
        <w:t>H</w:t>
      </w:r>
      <w:r>
        <w:rPr>
          <w:rFonts w:hint="eastAsia"/>
          <w:i/>
        </w:rPr>
        <w:t xml:space="preserve">                            </w:t>
      </w:r>
      <w:r>
        <w:rPr>
          <w:rFonts w:hint="eastAsia"/>
        </w:rPr>
        <w:t>(1)</w:t>
      </w:r>
    </w:p>
    <w:p>
      <w:pPr>
        <w:pStyle w:val="5"/>
        <w:spacing w:line="360" w:lineRule="auto"/>
        <w:rPr>
          <w:rFonts w:cs="宋体"/>
        </w:rPr>
      </w:pPr>
      <w:r>
        <w:rPr>
          <w:rFonts w:hint="eastAsia" w:cs="宋体"/>
        </w:rPr>
        <w:t xml:space="preserve">式中  </w:t>
      </w:r>
      <w:r>
        <w:t>Δ</w:t>
      </w:r>
      <w:r>
        <w:rPr>
          <w:rFonts w:hint="eastAsia" w:cs="宋体"/>
          <w:i/>
        </w:rPr>
        <w:t>H</w:t>
      </w:r>
      <w:r>
        <w:rPr>
          <w:rFonts w:hint="eastAsia" w:cs="宋体"/>
        </w:rPr>
        <w:t>——弧形板成形前的坯料厚度差(mm)；</w:t>
      </w:r>
    </w:p>
    <w:p>
      <w:pPr>
        <w:pStyle w:val="5"/>
        <w:spacing w:line="360" w:lineRule="auto"/>
        <w:ind w:firstLine="630" w:firstLineChars="300"/>
        <w:rPr>
          <w:rFonts w:cs="宋体"/>
          <w:i/>
        </w:rPr>
      </w:pPr>
      <w:r>
        <w:t>Δ</w:t>
      </w:r>
      <w:r>
        <w:rPr>
          <w:i/>
        </w:rPr>
        <w:t>L</w:t>
      </w:r>
      <w:r>
        <w:rPr>
          <w:rFonts w:hint="eastAsia" w:cs="宋体"/>
        </w:rPr>
        <w:t>——弧形板成形后的外弧伸长量(mm)，可按式(2)计算；</w:t>
      </w:r>
    </w:p>
    <w:p>
      <w:pPr>
        <w:pStyle w:val="5"/>
        <w:spacing w:line="360" w:lineRule="auto"/>
        <w:ind w:firstLine="630" w:firstLineChars="300"/>
        <w:rPr>
          <w:rFonts w:cs="宋体"/>
        </w:rPr>
      </w:pPr>
      <w:r>
        <w:rPr>
          <w:rFonts w:hint="eastAsia"/>
          <w:i/>
        </w:rPr>
        <w:t>R</w:t>
      </w:r>
      <w:r>
        <w:rPr>
          <w:rFonts w:hint="eastAsia"/>
          <w:vertAlign w:val="subscript"/>
        </w:rPr>
        <w:t>1</w:t>
      </w:r>
      <w:r>
        <w:rPr>
          <w:rFonts w:hint="eastAsia"/>
        </w:rPr>
        <w:t>——</w:t>
      </w:r>
      <w:r>
        <w:rPr>
          <w:rFonts w:hint="eastAsia" w:cs="宋体"/>
        </w:rPr>
        <w:t>弧形板成形后的外弧半径(mm)；</w:t>
      </w:r>
    </w:p>
    <w:p>
      <w:pPr>
        <w:pStyle w:val="5"/>
        <w:spacing w:line="360" w:lineRule="auto"/>
        <w:ind w:firstLine="630" w:firstLineChars="300"/>
        <w:rPr>
          <w:rFonts w:cs="宋体"/>
        </w:rPr>
      </w:pPr>
      <w:r>
        <w:rPr>
          <w:rFonts w:hint="eastAsia" w:cs="宋体"/>
          <w:i/>
        </w:rPr>
        <w:t>H</w:t>
      </w:r>
      <w:r>
        <w:rPr>
          <w:rFonts w:hint="eastAsia" w:cs="宋体"/>
        </w:rPr>
        <w:t>——弧形板成形后的厚度(mm)；</w:t>
      </w:r>
    </w:p>
    <w:p>
      <w:pPr>
        <w:pStyle w:val="5"/>
        <w:spacing w:line="360" w:lineRule="auto"/>
        <w:ind w:firstLine="630" w:firstLineChars="300"/>
        <w:rPr>
          <w:rFonts w:cs="宋体"/>
        </w:rPr>
      </w:pPr>
      <w:r>
        <w:rPr>
          <w:i/>
        </w:rPr>
        <w:t>B</w:t>
      </w:r>
      <w:r>
        <w:rPr>
          <w:rFonts w:hint="eastAsia"/>
        </w:rPr>
        <w:t>——</w:t>
      </w:r>
      <w:r>
        <w:rPr>
          <w:rFonts w:hint="eastAsia" w:cs="宋体"/>
        </w:rPr>
        <w:t>弧形板成形后的宽度(mm)；</w:t>
      </w:r>
    </w:p>
    <w:p>
      <w:pPr>
        <w:pStyle w:val="5"/>
        <w:spacing w:line="360" w:lineRule="auto"/>
        <w:ind w:firstLine="630" w:firstLineChars="300"/>
        <w:rPr>
          <w:rFonts w:cs="宋体"/>
        </w:rPr>
      </w:pPr>
      <w:r>
        <w:rPr>
          <w:i/>
        </w:rPr>
        <w:t>L</w:t>
      </w:r>
      <w:r>
        <w:rPr>
          <w:rFonts w:hint="eastAsia"/>
        </w:rPr>
        <w:t>——</w:t>
      </w:r>
      <w:r>
        <w:rPr>
          <w:rFonts w:hint="eastAsia" w:cs="宋体"/>
        </w:rPr>
        <w:t>弧形板成形前的坯料长度(mm)。</w:t>
      </w:r>
    </w:p>
    <w:p>
      <w:pPr>
        <w:pStyle w:val="5"/>
        <w:spacing w:line="360" w:lineRule="auto"/>
        <w:rPr>
          <w:rFonts w:cs="宋体"/>
        </w:rPr>
      </w:pPr>
    </w:p>
    <w:p>
      <w:pPr>
        <w:pStyle w:val="5"/>
        <w:spacing w:line="360" w:lineRule="auto"/>
        <w:ind w:firstLine="420"/>
        <w:rPr>
          <w:rFonts w:cs="宋体"/>
        </w:rPr>
      </w:pPr>
      <w:r>
        <w:rPr>
          <w:rFonts w:hint="eastAsia" w:cs="宋体"/>
        </w:rPr>
        <w:t>公式的排版格式二</w:t>
      </w:r>
    </w:p>
    <w:p>
      <w:pPr>
        <w:pStyle w:val="5"/>
        <w:spacing w:line="360" w:lineRule="auto"/>
        <w:ind w:firstLine="420"/>
        <w:rPr>
          <w:rFonts w:cs="宋体"/>
        </w:rPr>
      </w:pPr>
      <w:r>
        <w:rPr>
          <w:rFonts w:hint="eastAsia" w:cs="宋体"/>
        </w:rPr>
        <w:t>根据坯料锻造过程中体积不变的原理，经计算，最终得到弧形板成形前坯料厚度差</w:t>
      </w:r>
      <w:r>
        <w:t>Δ</w:t>
      </w:r>
      <w:r>
        <w:rPr>
          <w:rFonts w:hint="eastAsia" w:cs="宋体"/>
          <w:i/>
        </w:rPr>
        <w:t>H</w:t>
      </w:r>
      <w:r>
        <w:rPr>
          <w:rFonts w:hint="eastAsia" w:cs="宋体"/>
        </w:rPr>
        <w:t>的计算公式为：</w:t>
      </w:r>
    </w:p>
    <w:p>
      <w:pPr>
        <w:pStyle w:val="5"/>
        <w:spacing w:line="360" w:lineRule="auto"/>
        <w:ind w:firstLine="3255" w:firstLineChars="1550"/>
        <w:rPr>
          <w:rFonts w:cs="宋体"/>
        </w:rPr>
      </w:pPr>
      <w:r>
        <w:t>Δ</w:t>
      </w:r>
      <w:r>
        <w:rPr>
          <w:rFonts w:hint="eastAsia" w:cs="宋体"/>
          <w:i/>
        </w:rPr>
        <w:t>H</w:t>
      </w:r>
      <w:r>
        <w:rPr>
          <w:rFonts w:hint="eastAsia" w:cs="宋体"/>
        </w:rPr>
        <w:t>＝</w:t>
      </w:r>
      <w:r>
        <w:t>Δ</w:t>
      </w:r>
      <w:r>
        <w:rPr>
          <w:i/>
        </w:rPr>
        <w:t>L</w:t>
      </w:r>
      <w:r>
        <w:rPr>
          <w:rFonts w:hint="eastAsia"/>
          <w:i/>
        </w:rPr>
        <w:t>R</w:t>
      </w:r>
      <w:r>
        <w:rPr>
          <w:rFonts w:hint="eastAsia"/>
          <w:vertAlign w:val="subscript"/>
        </w:rPr>
        <w:t>1</w:t>
      </w:r>
      <w:r>
        <w:rPr>
          <w:i/>
        </w:rPr>
        <w:t>H</w:t>
      </w:r>
      <w:r>
        <w:t>/</w:t>
      </w:r>
      <w:r>
        <w:rPr>
          <w:i/>
        </w:rPr>
        <w:t>BL</w:t>
      </w:r>
      <w:r>
        <w:rPr>
          <w:rFonts w:hint="eastAsia"/>
        </w:rPr>
        <w:t>－</w:t>
      </w:r>
      <w:r>
        <w:rPr>
          <w:i/>
        </w:rPr>
        <w:t>H</w:t>
      </w:r>
      <w:r>
        <w:rPr>
          <w:rFonts w:hint="eastAsia"/>
          <w:i/>
        </w:rPr>
        <w:t xml:space="preserve">                            </w:t>
      </w:r>
      <w:r>
        <w:rPr>
          <w:rFonts w:hint="eastAsia"/>
        </w:rPr>
        <w:t>(1)</w:t>
      </w:r>
    </w:p>
    <w:p>
      <w:pPr>
        <w:pStyle w:val="5"/>
        <w:spacing w:line="360" w:lineRule="auto"/>
        <w:rPr>
          <w:rFonts w:cs="宋体"/>
        </w:rPr>
      </w:pPr>
      <w:r>
        <w:rPr>
          <w:rFonts w:hint="eastAsia" w:cs="宋体"/>
        </w:rPr>
        <w:t>式中，</w:t>
      </w:r>
      <w:r>
        <w:t>Δ</w:t>
      </w:r>
      <w:r>
        <w:rPr>
          <w:rFonts w:hint="eastAsia" w:cs="宋体"/>
          <w:i/>
        </w:rPr>
        <w:t>H</w:t>
      </w:r>
      <w:r>
        <w:rPr>
          <w:rFonts w:hint="eastAsia" w:cs="宋体"/>
        </w:rPr>
        <w:t>是弧形板成形前的坯料厚度差(mm)；</w:t>
      </w:r>
      <w:r>
        <w:t>Δ</w:t>
      </w:r>
      <w:r>
        <w:rPr>
          <w:i/>
        </w:rPr>
        <w:t>L</w:t>
      </w:r>
      <w:r>
        <w:rPr>
          <w:rFonts w:hint="eastAsia" w:cs="宋体"/>
        </w:rPr>
        <w:t>是弧形板成形后的外弧伸长量(mm)，可按式(2)计算；……</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方正姚体">
    <w:altName w:val="宋体"/>
    <w:panose1 w:val="02010601030101010101"/>
    <w:charset w:val="86"/>
    <w:family w:val="auto"/>
    <w:pitch w:val="default"/>
    <w:sig w:usb0="00000000" w:usb1="00000000" w:usb2="00000010" w:usb3="00000000" w:csb0="00040000" w:csb1="00000000"/>
  </w:font>
  <w:font w:name="华文楷体">
    <w:altName w:val="宋体"/>
    <w:panose1 w:val="02010600040101010101"/>
    <w:charset w:val="86"/>
    <w:family w:val="auto"/>
    <w:pitch w:val="default"/>
    <w:sig w:usb0="00000000" w:usb1="00000000" w:usb2="00000010" w:usb3="00000000" w:csb0="0004009F" w:csb1="00000000"/>
  </w:font>
  <w:font w:name="楷体">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k4OTQ3NzE1NDQ3Y2JiYTIyYjYzZTY2ZTE0MmEyMzcifQ=="/>
  </w:docVars>
  <w:rsids>
    <w:rsidRoot w:val="00000000"/>
    <w:rsid w:val="43784B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 w:type="paragraph" w:customStyle="1" w:styleId="5">
    <w:name w:val="样式 正文文本 + 首行缩进:  0.74 厘米 行距: 固定值 25 磅"/>
    <w:basedOn w:val="1"/>
    <w:next w:val="2"/>
    <w:uiPriority w:val="99"/>
    <w:rPr>
      <w:rFonts w:ascii="Calibri" w:hAnsi="Calibri" w:cs="Calibri"/>
      <w:szCs w:val="21"/>
    </w:rPr>
  </w:style>
  <w:style w:type="paragraph" w:styleId="6">
    <w:name w:val="List Paragraph"/>
    <w:basedOn w:val="1"/>
    <w:qFormat/>
    <w:uiPriority w:val="99"/>
    <w:pPr>
      <w:widowControl/>
      <w:ind w:firstLine="420" w:firstLineChars="200"/>
      <w:jc w:val="left"/>
    </w:pPr>
    <w:rPr>
      <w:rFonts w:ascii="宋体" w:hAnsi="宋体" w:cs="宋体"/>
      <w:kern w:val="0"/>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AEACE"/>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1331</Words>
  <Characters>1574</Characters>
  <Lines>0</Lines>
  <Paragraphs>0</Paragraphs>
  <TotalTime>0</TotalTime>
  <ScaleCrop>false</ScaleCrop>
  <LinksUpToDate>false</LinksUpToDate>
  <CharactersWithSpaces>1655</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2023-02-23T08:35:08Z</dcterms:created>
  <dc:creator>Administrator</dc:creator>
  <cp:lastModifiedBy>Administrator</cp:lastModifiedBy>
  <dcterms:modified xsi:type="dcterms:W3CDTF">2023-02-23T08:35:18Z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D14E5191FCE54901BE6B239410A87775</vt:lpwstr>
  </property>
</Properties>
</file>